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B5F9" w14:textId="459D681E"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w:t>
      </w:r>
      <w:bookmarkStart w:id="0" w:name="_GoBack"/>
      <w:bookmarkEnd w:id="0"/>
      <w:r w:rsidRPr="00655473">
        <w:rPr>
          <w:rFonts w:ascii="ＭＳ 明朝" w:hAnsi="ＭＳ 明朝" w:hint="eastAsia"/>
          <w:sz w:val="20"/>
          <w:szCs w:val="20"/>
        </w:rPr>
        <w:t>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42613013"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257E170E"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714738DE"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44916446"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B22CF0">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7908C01F" w:rsidR="00A0430B" w:rsidRPr="00655473" w:rsidRDefault="0067168D">
      <w:pPr>
        <w:pStyle w:val="a3"/>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63CD924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0485384A"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05CD1F11" w:rsidR="00C3457C" w:rsidRPr="00655473" w:rsidRDefault="0067168D" w:rsidP="00C3457C">
      <w:pPr>
        <w:pStyle w:val="a3"/>
        <w:jc w:val="center"/>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50CC3FEB"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1" w:name="_Hlk1996775"/>
      <w:r w:rsidR="001937A7">
        <w:rPr>
          <w:rFonts w:ascii="ＭＳ 明朝" w:hAnsi="ＭＳ 明朝" w:hint="eastAsia"/>
          <w:snapToGrid w:val="0"/>
        </w:rPr>
        <w:t>廃炉・汚染水対策事業費</w:t>
      </w:r>
      <w:bookmarkEnd w:id="1"/>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63306A4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507D58D3"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5D798AF8"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2C51BF29" w:rsidR="00A0430B" w:rsidRPr="00655473" w:rsidRDefault="0067168D" w:rsidP="00C03166">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77777777"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571F604F" w:rsidR="00B9131A" w:rsidRPr="00655473" w:rsidRDefault="0067168D" w:rsidP="00B9131A">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526375BF"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1677D413"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22255D4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B22CF0">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0E7820DF" w:rsidR="00A0430B" w:rsidRPr="00655473" w:rsidRDefault="00CC4198" w:rsidP="00B22CF0">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B22CF0">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B22CF0">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B22CF0">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50C2FD0E"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５．処分制限期間は、本交付規程第２２条第２項に定める期間を記載すること。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3191C7B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B22CF0">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0A7232D" w:rsidR="00EC3D39" w:rsidRPr="00655473" w:rsidRDefault="00CC4198" w:rsidP="00B22CF0">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B22CF0">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B22CF0">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B22CF0">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14B65BA2"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処分制限期間は、本交付規程第２２条第２項に定める期間を記載すること。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315C9823" w:rsidR="00DE29C7" w:rsidRPr="00655473" w:rsidRDefault="0067168D"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38B57634" w:rsidR="00D566F7" w:rsidRPr="00655473" w:rsidRDefault="0067168D"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2484722C"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541ED6DC"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3E25A471"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52259D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51DC8DC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1538DA60"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411E53B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437F62B6"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08FAACEC"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13C894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10E9764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676AC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05A5508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320E8F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7394A64B"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28BC80E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62A93ED5"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11DC5E54"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0731" w14:textId="77777777" w:rsidR="002B7E48" w:rsidRDefault="002B7E48" w:rsidP="00C77227">
      <w:r>
        <w:separator/>
      </w:r>
    </w:p>
  </w:endnote>
  <w:endnote w:type="continuationSeparator" w:id="0">
    <w:p w14:paraId="6234277A" w14:textId="77777777" w:rsidR="002B7E48" w:rsidRDefault="002B7E48" w:rsidP="00C77227">
      <w:r>
        <w:continuationSeparator/>
      </w:r>
    </w:p>
  </w:endnote>
  <w:endnote w:type="continuationNotice" w:id="1">
    <w:p w14:paraId="4AD83C4C" w14:textId="77777777" w:rsidR="002B7E48" w:rsidRDefault="002B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E63" w14:textId="5931B73E" w:rsidR="008F04A5" w:rsidRDefault="008F04A5">
    <w:pPr>
      <w:pStyle w:val="ab"/>
      <w:jc w:val="center"/>
    </w:pPr>
    <w:r>
      <w:fldChar w:fldCharType="begin"/>
    </w:r>
    <w:r>
      <w:instrText xml:space="preserve"> PAGE   \* MERGEFORMAT </w:instrText>
    </w:r>
    <w:r>
      <w:fldChar w:fldCharType="separate"/>
    </w:r>
    <w:r w:rsidR="002C44C9" w:rsidRPr="002C44C9">
      <w:rPr>
        <w:noProof/>
        <w:lang w:val="ja-JP"/>
      </w:rPr>
      <w:t>21</w:t>
    </w:r>
    <w:r>
      <w:fldChar w:fldCharType="end"/>
    </w:r>
  </w:p>
  <w:p w14:paraId="544069C6" w14:textId="77777777" w:rsidR="008F04A5" w:rsidRDefault="008F04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9BAE" w14:textId="77777777" w:rsidR="002B7E48" w:rsidRDefault="002B7E48" w:rsidP="00C77227">
      <w:r>
        <w:separator/>
      </w:r>
    </w:p>
  </w:footnote>
  <w:footnote w:type="continuationSeparator" w:id="0">
    <w:p w14:paraId="54AB78AC" w14:textId="77777777" w:rsidR="002B7E48" w:rsidRDefault="002B7E48" w:rsidP="00C77227">
      <w:r>
        <w:continuationSeparator/>
      </w:r>
    </w:p>
  </w:footnote>
  <w:footnote w:type="continuationNotice" w:id="1">
    <w:p w14:paraId="506D9F0E" w14:textId="77777777" w:rsidR="002B7E48" w:rsidRDefault="002B7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AFB" w14:textId="2A99D379" w:rsidR="008F04A5" w:rsidRDefault="008F04A5"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7C2F"/>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B7E48"/>
    <w:rsid w:val="002C0011"/>
    <w:rsid w:val="002C44C9"/>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590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818D4"/>
    <w:rsid w:val="00586544"/>
    <w:rsid w:val="0059519C"/>
    <w:rsid w:val="005A2C48"/>
    <w:rsid w:val="005A4517"/>
    <w:rsid w:val="005A5346"/>
    <w:rsid w:val="005A76B3"/>
    <w:rsid w:val="005A7FE7"/>
    <w:rsid w:val="005B3401"/>
    <w:rsid w:val="005B728E"/>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5A2A"/>
    <w:rsid w:val="009C66B6"/>
    <w:rsid w:val="009C7875"/>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53DA"/>
    <w:rsid w:val="00AD04F3"/>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4DF8"/>
    <w:rsid w:val="00B176C8"/>
    <w:rsid w:val="00B17719"/>
    <w:rsid w:val="00B2044B"/>
    <w:rsid w:val="00B2107F"/>
    <w:rsid w:val="00B21195"/>
    <w:rsid w:val="00B22CF0"/>
    <w:rsid w:val="00B23DD2"/>
    <w:rsid w:val="00B24E75"/>
    <w:rsid w:val="00B25051"/>
    <w:rsid w:val="00B25539"/>
    <w:rsid w:val="00B256AF"/>
    <w:rsid w:val="00B257E1"/>
    <w:rsid w:val="00B27F95"/>
    <w:rsid w:val="00B32F00"/>
    <w:rsid w:val="00B378BC"/>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A7E44"/>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D7467"/>
    <w:rsid w:val="00DE254E"/>
    <w:rsid w:val="00DE29C7"/>
    <w:rsid w:val="00DF2CFF"/>
    <w:rsid w:val="00DF407F"/>
    <w:rsid w:val="00DF703A"/>
    <w:rsid w:val="00DF7BE9"/>
    <w:rsid w:val="00E00D8F"/>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62B9D"/>
    <w:rsid w:val="00F701C2"/>
    <w:rsid w:val="00F719F7"/>
    <w:rsid w:val="00F7530F"/>
    <w:rsid w:val="00F75F21"/>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FA36-DFA3-4BF4-9CD1-07F7705C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8299</Words>
  <Characters>6289</Characters>
  <Application>Microsoft Office Word</Application>
  <DocSecurity>0</DocSecurity>
  <Lines>52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鈴木　誠一郎</dc:creator>
  <cp:lastModifiedBy>NSU 林 寛子</cp:lastModifiedBy>
  <cp:revision>5</cp:revision>
  <cp:lastPrinted>2020-03-02T04:42:00Z</cp:lastPrinted>
  <dcterms:created xsi:type="dcterms:W3CDTF">2020-03-03T07:29:00Z</dcterms:created>
  <dcterms:modified xsi:type="dcterms:W3CDTF">2020-03-05T03:27:00Z</dcterms:modified>
</cp:coreProperties>
</file>